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中国共产党文安县委员会政法委员会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null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中国共产党文安县委员会政法委员会编制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文安县财政局审核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1.]精神障碍责任险和监护人补贴绩效目标表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2.政法四级网租赁费绩效目标表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9"/>
          <w:footerReference w:type="default" r:id="rId10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对全县政法工作研究提出全局性部署，推进平安文安、法治文安建设，加强过硬队伍建设，深化智能化建设，坚决维护国家政治安全、确保社会大局稳定、促进社会公平正义、保障人民安居乐业。了解掌握和分析研判政法工作情况动态，分析社会稳定形势，创新完善多部门参与的综治维稳工作机制，协调推动预防、化解影响稳定的社会矛盾和风险，协调应对和处置重大突发事件。加强对政法工作的督查，统筹协调社会治安综合治理、维护社会稳定。反邪教有关法律法规政策的实施工作.组织开展政法领域的调查研究，研究拟订政法工作的重大措施，及时向县委提出建议。掌握分析政法舆情动态，指导协调政法单位媒体网络宣传工作，指导政法单位做好涉及政法工作的重大宣传工作。支持和监督政法单位依法行使职权，指导和协调政法单位密切配合，研究和协调重大、疑难案件，指导政法单位涉法涉诉信访工作，推进严格执法、公正司法。指导推动政法系统党的建设和政法队伍建设.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（一）深入政治安全，维护社会稳定</w:t>
      </w:r>
    </w:p>
    <w:p>
      <w:pPr>
        <w:pStyle w:val="插入文本样式-插入职责分类绩效目标文件"/>
      </w:pPr>
      <w:r>
        <w:t xml:space="preserve">绩效目标：指导协调政法系统加强全县政治安全工作的调查研究，掌握一定时期内政治安全情况动态，提出工作建议和意见。</w:t>
      </w:r>
    </w:p>
    <w:p>
      <w:pPr>
        <w:pStyle w:val="插入文本样式-插入职责分类绩效目标文件"/>
      </w:pPr>
      <w:r>
        <w:t xml:space="preserve">绩效指标：指导政法等单位搜集、研判影响政治安全的情况信息，对重大隐患风险进行监督预警。</w:t>
      </w:r>
    </w:p>
    <w:p>
      <w:pPr>
        <w:pStyle w:val="插入文本样式-插入职责分类绩效目标文件"/>
      </w:pPr>
      <w:r>
        <w:t xml:space="preserve">（二）协调推进基层社会治安综合治理</w:t>
      </w:r>
    </w:p>
    <w:p>
      <w:pPr>
        <w:pStyle w:val="插入文本样式-插入职责分类绩效目标文件"/>
      </w:pPr>
      <w:r>
        <w:t xml:space="preserve">绩效目标：指导协调各地各部门推进扫黑除恶、社会治安重点地区和突出治安问题排查整治、社会治安防控体系建设</w:t>
      </w:r>
    </w:p>
    <w:p>
      <w:pPr>
        <w:pStyle w:val="插入文本样式-插入职责分类绩效目标文件"/>
      </w:pPr>
      <w:r>
        <w:t xml:space="preserve">绩效指标：  指导协调公用设施和重要基础设施安全防护、护路护线联防、校园和医院及周边社会治安综合治理工作。</w:t>
      </w:r>
    </w:p>
    <w:p>
      <w:pPr>
        <w:pStyle w:val="插入文本样式-插入职责分类绩效目标文件"/>
      </w:pPr>
      <w:r>
        <w:t xml:space="preserve">（三）  指导推动全县政法单位建立健全执法监督制度</w:t>
      </w:r>
    </w:p>
    <w:p>
      <w:pPr>
        <w:pStyle w:val="插入文本样式-插入职责分类绩效目标文件"/>
      </w:pPr>
      <w:r>
        <w:t xml:space="preserve">绩效目标：调查分析和及时纠正存在的倾向性问题，研究制定相关措施。</w:t>
      </w:r>
    </w:p>
    <w:p>
      <w:pPr>
        <w:pStyle w:val="插入文本样式-插入职责分类绩效目标文件"/>
      </w:pPr>
      <w:r>
        <w:t xml:space="preserve">绩效指标：行使职权，督促依法及时办理有重大影响、群众反映强烈的案件。</w:t>
      </w:r>
    </w:p>
    <w:p>
      <w:pPr>
        <w:pStyle w:val="插入文本样式-插入职责分类绩效目标文件"/>
      </w:pPr>
      <w:r>
        <w:t xml:space="preserve">（四）落实教育培训计划、抓好业务学习和岗位练兵。指导政法系统人才队伍建设。</w:t>
      </w:r>
    </w:p>
    <w:p>
      <w:pPr>
        <w:pStyle w:val="插入文本样式-插入职责分类绩效目标文件"/>
      </w:pPr>
      <w:r>
        <w:t xml:space="preserve">绩效目标：指导政法系统组织开展政治督察，推动政法队伍纪律作风、廉政建设和警示教育。</w:t>
      </w:r>
    </w:p>
    <w:p>
      <w:pPr>
        <w:pStyle w:val="插入文本样式-插入职责分类绩效目标文件"/>
      </w:pPr>
      <w:r>
        <w:t xml:space="preserve">绩效指标：提出加强全县政法队伍建设的意见措施。负责了解政法单位领导班子的能力建设和岗位履职情况，指导和推动党的有关干部政策规定的贯彻落实。</w:t>
      </w:r>
    </w:p>
    <w:p>
      <w:pPr>
        <w:pStyle w:val="插入文本样式-插入职责分类绩效目标文件"/>
      </w:pPr>
      <w:r>
        <w:t xml:space="preserve">（五）深入见义勇为宣传，促进社会和谐。</w:t>
      </w:r>
    </w:p>
    <w:p>
      <w:pPr>
        <w:pStyle w:val="插入文本样式-插入职责分类绩效目标文件"/>
      </w:pPr>
      <w:r>
        <w:t xml:space="preserve">绩效目标：通过实施见义勇为奖励，让人民群众感受到社会正气，促进社会和谐稳定。</w:t>
      </w:r>
    </w:p>
    <w:p>
      <w:pPr>
        <w:pStyle w:val="插入文本样式-插入职责分类绩效目标文件"/>
      </w:pPr>
      <w:r>
        <w:t xml:space="preserve">绩效指标：组织开展主题宣传活动、印发宣传资料，充分发挥新媒体搜集整理宣传标语。</w:t>
      </w:r>
    </w:p>
    <w:p>
      <w:pPr>
        <w:pStyle w:val="插入文本样式-插入职责分类绩效目标文件"/>
      </w:pPr>
      <w:r>
        <w:t xml:space="preserve">（六）提升反邪教工作整体水平，确保我县社会稳定。</w:t>
      </w:r>
    </w:p>
    <w:p>
      <w:pPr>
        <w:pStyle w:val="插入文本样式-插入职责分类绩效目标文件"/>
      </w:pPr>
      <w:r>
        <w:t xml:space="preserve">绩效目标：统筹协调和督导政法等单位排查化解影响社会稳定的重大隐患风险。</w:t>
      </w:r>
    </w:p>
    <w:p>
      <w:pPr>
        <w:pStyle w:val="插入文本样式-插入职责分类绩效目标文件"/>
      </w:pPr>
      <w:r>
        <w:t xml:space="preserve">绩效指标：协调推动各相关部门做好反邪教工作，统筹部署开展重大专项斗争活动。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（一）资金保障</w:t>
      </w:r>
    </w:p>
    <w:p>
      <w:pPr>
        <w:pStyle w:val="插入文本样式-插入实现年度发展规划目标的保障措施文件"/>
      </w:pPr>
      <w:r>
        <w:t xml:space="preserve">一是及时与上级财政、税务部门进行沟通，保证各项收入应收尽收，确保完成全年收入任务。二是坚持量入为出的确原则，保证机关各项支出的时效性。三是做好上级方针政策的及时贯彻和执行，引进新的思想和理念，学习先进的理财经验。</w:t>
      </w:r>
    </w:p>
    <w:p>
      <w:pPr>
        <w:pStyle w:val="插入文本样式-插入实现年度发展规划目标的保障措施文件"/>
      </w:pPr>
      <w:r>
        <w:t xml:space="preserve">（二）全力维护社会安全稳定。</w:t>
      </w:r>
    </w:p>
    <w:p>
      <w:pPr>
        <w:pStyle w:val="插入文本样式-插入实现年度发展规划目标的保障措施文件"/>
      </w:pPr>
      <w:r>
        <w:t xml:space="preserve">加强和改进信访工作，建立和完善调解、处理矛盾的工作机制，完善信访和矛盾纠纷排查调处责任制，建立健全社会预警体系和应急反应机制，预防和妥善处置群体性事件。</w:t>
      </w:r>
    </w:p>
    <w:p>
      <w:pPr>
        <w:pStyle w:val="插入文本样式-插入实现年度发展规划目标的保障措施文件"/>
      </w:pPr>
      <w:r>
        <w:t xml:space="preserve">(三)完善制度建设，加强队伍学习，干部素质显著提升</w:t>
      </w:r>
    </w:p>
    <w:p>
      <w:pPr>
        <w:pStyle w:val="插入文本样式-插入实现年度发展规划目标的保障措施文件"/>
      </w:pPr>
      <w:r>
        <w:t xml:space="preserve">持续加强干部队伍作风建设。以“两学一做”为契机，教育引导广大党员干部加强党性修养，以更高的标准、更严的要求，在做好群众工作中作出表率、取得新成效。 </w:t>
      </w:r>
    </w:p>
    <w:p>
      <w:pPr>
        <w:pStyle w:val="插入文本样式-插入实现年度发展规划目标的保障措施文件"/>
      </w:pPr>
      <w:r>
        <w:t xml:space="preserve">（四）规范财务资产管理。</w:t>
      </w:r>
    </w:p>
    <w:p>
      <w:pPr>
        <w:pStyle w:val="插入文本样式-插入实现年度发展规划目标的保障措施文件"/>
      </w:pPr>
      <w:r>
        <w:t xml:space="preserve">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（五）加强支出管理</w:t>
      </w:r>
    </w:p>
    <w:p>
      <w:pPr>
        <w:pStyle w:val="插入文本样式-插入实现年度发展规划目标的保障措施文件"/>
      </w:pPr>
      <w:r>
        <w:t xml:space="preserve">制定镇财政年度收支预算和决算，监督检查预算执行和经费使用情况，严格控制财政支出，确保财政收支平衡;帮助指导和监督本镇经济组织和村的财务管理工作。</w:t>
      </w:r>
    </w:p>
    <w:p>
      <w:pPr>
        <w:pStyle w:val="插入文本样式-插入实现年度发展规划目标的保障措施文件"/>
      </w:pPr>
      <w:r>
        <w:t xml:space="preserve">（六）加强绩效运行监控与绩效自评</w:t>
      </w:r>
    </w:p>
    <w:p>
      <w:pPr>
        <w:pStyle w:val="插入文本样式-插入实现年度发展规划目标的保障措施文件"/>
      </w:pPr>
      <w:r>
        <w:t xml:space="preserve">强化主体意识，落实工作责任。部门单位是预算绩效管理的责任主体，认真组织开展绩效自评工作，切实做到花钱必问效，无效必问责。</w:t>
      </w:r>
    </w:p>
    <w:p>
      <w:pPr>
        <w:pStyle w:val="插入文本样式-插入实现年度发展规划目标的保障措施文件"/>
      </w:pPr>
      <w:r>
        <w:t xml:space="preserve">（七）加强内部监督</w:t>
      </w:r>
    </w:p>
    <w:p>
      <w:pPr>
        <w:pStyle w:val="插入文本样式-插入实现年度发展规划目标的保障措施文件"/>
      </w:pPr>
      <w:r>
        <w:t xml:space="preserve"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1.]精神障碍责任险和监护人补贴绩效目标表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132001中国共产党文安县委员会政法委员会本级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13102624P002JR0100032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]精神障碍责任险和监护人补贴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817300.00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817300.00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用于严重精神障碍患者保险及监护人补贴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286000.00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588000.00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817300.00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1.通过项目的开展，严重精神障碍患者肇事肇祸案事件得到有效控制。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严重精神障碍患者管控率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监护人履职尽责，重点人员依法依规管控。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全县纳入卫计和公安登记管理的严重精神障碍患者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严重精神障碍患者肇事肇祸占比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严重精神障碍患者发生肇事肇祸案事件得到有效管控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&lt;2百分比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看护管理周期和责任险投保周期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严重精神障碍患者监护人履职尽责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监护人责任险投保费及监护人以奖代补资金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监护人以奖代补资金和责任险投保费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≤81.73万元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易肇事肇祸患者人员占比减少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肇事肇祸的严重精神障碍患者得到有效控制。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&lt;2百分比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造成监护人以外的第三方财产损失赔付率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所有符合理赔款的财产损失应赔尽赔。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影响社会稳定的发案率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人民群众安全感满意度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人民群众安全感满意度得到提升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安全感满意度测评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2.政法四级网租赁费绩效目标表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132001中国共产党文安县委员会政法委员会本级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13102624P00000111190Y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政法四级网租赁费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政法四级网租赁费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1000000.00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1000000.00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1000000.00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1000000.00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1.开展本项目主要解决政法四级网带宽资源不足问题，确保政法四级网升级扩容任务的达成。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99个政法四级网点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99个政法四级网点全部完成升级扩容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≤10099个政法四级网点全部完成升级扩容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专业监理单位验收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由专业监理单位进行项目验收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≤100由专业监理单位进行项目验收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5年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≤1005年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设备采购及运行维护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设备采购费用及每年运行维护费用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≤100设备采购费用及每年运行维护费用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实现政法网整体高效运行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通过项目的开展完成政法四级网升级扩容，实现政法网整体高效运转。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≤100通过项目的开展完成政法四级网升级扩容，实现政法网整体高效运转。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实现社会稳定提供网络支撑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通过政法网高效运转为社会稳定提供支撑，提供良好营商环境。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≤100通过政法网高效运转为社会稳定提供支撑，提供良好营商环境。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为社会治安综合治理提供网络支撑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通过政法网高效运行为社会治安综合治理提供网络支撑。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≤100通过政法网高效运行为社会治安综合治理提供网络支撑。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社会治安综合治理持续开展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通过政法网高效运行促进社会治安综合治理持续开展。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≤100通过政法网高效运行促进社会治安综合治理持续开展。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群众安全感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群众安全得到有效提升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≤100群众安全得到有效提升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2024-02-06T15:53:38Z</dcterms:created>
  <dcterms:modified xsi:type="dcterms:W3CDTF">2024-02-06T07:53:38Z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2024-02-06T15:53:38Z</dcterms:created>
  <dcterms:modified xsi:type="dcterms:W3CDTF">2024-02-06T07:53:38Z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2024-02-06T15:53:38Z</dcterms:created>
  <dcterms:modified xsi:type="dcterms:W3CDTF">2024-02-06T07:53:38Z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2024-02-06T15:53:38Z</dcterms:created>
  <dcterms:modified xsi:type="dcterms:W3CDTF">2024-02-06T07:53:38Z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2024-02-06T15:53:38Z</dcterms:created>
  <dcterms:modified xsi:type="dcterms:W3CDTF">2024-02-06T07:53:41Z</dcterms:modified>
</cp:coreProperties>
</file>